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0C2D3" w14:textId="1D19B458"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AD3C87">
        <w:rPr>
          <w:b/>
          <w:i/>
          <w:noProof/>
          <w:sz w:val="28"/>
        </w:rPr>
        <w:t>1750</w:t>
      </w:r>
    </w:p>
    <w:p w14:paraId="646EFD94" w14:textId="77777777" w:rsidR="00EE33A2" w:rsidRDefault="002046CB" w:rsidP="002046CB">
      <w:pPr>
        <w:pStyle w:val="CRCoverPage"/>
        <w:outlineLvl w:val="0"/>
        <w:rPr>
          <w:b/>
          <w:noProof/>
          <w:sz w:val="24"/>
        </w:rPr>
      </w:pPr>
      <w:r>
        <w:rPr>
          <w:b/>
          <w:noProof/>
          <w:sz w:val="24"/>
        </w:rPr>
        <w:t>e-meeting, 17 - 28 May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1030A4F" w14:textId="77777777" w:rsidR="0010401F" w:rsidRDefault="0010401F">
      <w:pPr>
        <w:keepNext/>
        <w:pBdr>
          <w:bottom w:val="single" w:sz="4" w:space="1" w:color="auto"/>
        </w:pBdr>
        <w:tabs>
          <w:tab w:val="right" w:pos="9639"/>
        </w:tabs>
        <w:outlineLvl w:val="0"/>
        <w:rPr>
          <w:rFonts w:ascii="Arial" w:hAnsi="Arial" w:cs="Arial"/>
          <w:b/>
          <w:sz w:val="24"/>
        </w:rPr>
      </w:pPr>
    </w:p>
    <w:p w14:paraId="3CAF2F9F" w14:textId="133C95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1207">
        <w:rPr>
          <w:rFonts w:ascii="Arial" w:hAnsi="Arial"/>
          <w:b/>
          <w:lang w:val="en-US"/>
        </w:rPr>
        <w:t>Ericsson</w:t>
      </w:r>
    </w:p>
    <w:p w14:paraId="27C2C613" w14:textId="714C3BF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1207">
        <w:rPr>
          <w:rFonts w:ascii="Arial" w:hAnsi="Arial" w:cs="Arial"/>
          <w:b/>
          <w:bCs/>
        </w:rPr>
        <w:t xml:space="preserve">Discussion </w:t>
      </w:r>
      <w:r w:rsidR="00691823">
        <w:rPr>
          <w:rFonts w:ascii="Arial" w:hAnsi="Arial" w:cs="Arial"/>
          <w:b/>
          <w:bCs/>
        </w:rPr>
        <w:t xml:space="preserve">on </w:t>
      </w:r>
      <w:r w:rsidR="00FC2CF3" w:rsidRPr="00FC2CF3">
        <w:rPr>
          <w:rFonts w:ascii="Arial" w:hAnsi="Arial" w:cs="Arial"/>
          <w:b/>
          <w:bCs/>
        </w:rPr>
        <w:t>integrity protection between the UE and the HPLMN of additional fields in SOR transparent container carrying SOR acknowledgement</w:t>
      </w:r>
      <w:r w:rsidR="00FE0F3E" w:rsidRPr="00FE0F3E">
        <w:rPr>
          <w:rFonts w:ascii="Arial" w:hAnsi="Arial" w:cs="Arial"/>
          <w:b/>
          <w:bCs/>
        </w:rPr>
        <w:t xml:space="preserve"> </w:t>
      </w:r>
    </w:p>
    <w:p w14:paraId="76357C2C" w14:textId="6736205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A58C2">
        <w:rPr>
          <w:rFonts w:ascii="Arial" w:hAnsi="Arial"/>
          <w:b/>
        </w:rPr>
        <w:t>Discussion</w:t>
      </w:r>
    </w:p>
    <w:p w14:paraId="7CE9A9CE" w14:textId="0183C5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A58C2">
        <w:rPr>
          <w:rFonts w:ascii="Arial" w:hAnsi="Arial"/>
          <w:b/>
        </w:rPr>
        <w:t>3</w:t>
      </w:r>
    </w:p>
    <w:p w14:paraId="2B242D90" w14:textId="77777777" w:rsidR="00C022E3" w:rsidRDefault="00C022E3">
      <w:pPr>
        <w:pStyle w:val="Heading1"/>
      </w:pPr>
      <w:r>
        <w:t>1</w:t>
      </w:r>
      <w:r>
        <w:tab/>
        <w:t>Decision/action requested</w:t>
      </w:r>
    </w:p>
    <w:p w14:paraId="25F4AC2E" w14:textId="5DFDF13E" w:rsidR="00C022E3" w:rsidRDefault="002170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discussion paper provides the background and discussion for the reply-LS S3-21</w:t>
      </w:r>
      <w:r w:rsidR="00EC5178">
        <w:rPr>
          <w:b/>
          <w:i/>
        </w:rPr>
        <w:t>1751</w:t>
      </w:r>
      <w:r>
        <w:rPr>
          <w:b/>
          <w:i/>
        </w:rPr>
        <w:t>.</w:t>
      </w:r>
    </w:p>
    <w:p w14:paraId="367E2366" w14:textId="77777777" w:rsidR="00C022E3" w:rsidRDefault="00C022E3">
      <w:pPr>
        <w:pStyle w:val="Heading1"/>
      </w:pPr>
      <w:r>
        <w:t>2</w:t>
      </w:r>
      <w:r>
        <w:tab/>
        <w:t>References</w:t>
      </w:r>
    </w:p>
    <w:p w14:paraId="36ECE1CB" w14:textId="02AB76D7" w:rsidR="00C022E3" w:rsidRDefault="00C022E3">
      <w:pPr>
        <w:pStyle w:val="Reference"/>
      </w:pPr>
      <w:r w:rsidRPr="00FE0F3E">
        <w:t>[1]</w:t>
      </w:r>
      <w:r w:rsidRPr="00FE0F3E">
        <w:tab/>
      </w:r>
      <w:r w:rsidR="004C0A1D">
        <w:t>S3-211440/C1-212523 "</w:t>
      </w:r>
      <w:r w:rsidR="00E278BD" w:rsidRPr="00E278BD">
        <w:t>LS on integrity protection between the UE and the HPLMN of additional fields in SOR transparent container carrying SOR acknowledgement</w:t>
      </w:r>
      <w:r w:rsidR="00E278BD">
        <w:t>" from CT1</w:t>
      </w:r>
    </w:p>
    <w:p w14:paraId="5C483F7E" w14:textId="28ED775D" w:rsidR="005C1A57" w:rsidRPr="00FE0F3E" w:rsidRDefault="005C1A57" w:rsidP="005C1A57">
      <w:pPr>
        <w:pStyle w:val="Reference"/>
      </w:pPr>
      <w:r w:rsidRPr="00FE0F3E">
        <w:t>[</w:t>
      </w:r>
      <w:r>
        <w:t>2</w:t>
      </w:r>
      <w:r w:rsidRPr="00FE0F3E">
        <w:t>]</w:t>
      </w:r>
      <w:r w:rsidRPr="00FE0F3E">
        <w:tab/>
      </w:r>
      <w:r w:rsidR="009333BC" w:rsidRPr="009333BC">
        <w:t>S3-211394</w:t>
      </w:r>
      <w:r w:rsidR="009333BC">
        <w:t>/</w:t>
      </w:r>
      <w:r w:rsidRPr="00FE0F3E">
        <w:t>S2-2101072 LS on UE capabilities indication in UPU</w:t>
      </w:r>
    </w:p>
    <w:p w14:paraId="14AE3A0A" w14:textId="57C9D827" w:rsidR="00042522" w:rsidRDefault="005C1A57" w:rsidP="00042522">
      <w:pPr>
        <w:pStyle w:val="Reference"/>
      </w:pPr>
      <w:r w:rsidRPr="00FE0F3E">
        <w:t>[</w:t>
      </w:r>
      <w:r>
        <w:t>3</w:t>
      </w:r>
      <w:r w:rsidRPr="00FE0F3E">
        <w:t>]</w:t>
      </w:r>
      <w:r w:rsidRPr="00FE0F3E">
        <w:tab/>
      </w:r>
      <w:r w:rsidR="00C23945" w:rsidRPr="00C23945">
        <w:t>S3-211441</w:t>
      </w:r>
      <w:r w:rsidR="00C23945">
        <w:t>/</w:t>
      </w:r>
      <w:r w:rsidRPr="00FE0F3E">
        <w:t>C1-212599 Reply LS on UE capabilities indication in UPU</w:t>
      </w:r>
    </w:p>
    <w:p w14:paraId="75762CA0" w14:textId="4D65E492" w:rsidR="00141828" w:rsidRDefault="00141828" w:rsidP="00042522">
      <w:pPr>
        <w:pStyle w:val="Reference"/>
      </w:pPr>
      <w:r>
        <w:t>[4]</w:t>
      </w:r>
      <w:r>
        <w:tab/>
        <w:t>3GPP TS 33.501 "</w:t>
      </w:r>
      <w:r w:rsidRPr="00141828">
        <w:t>Security architecture and procedures for 5G System</w:t>
      </w:r>
      <w:r>
        <w:t>"</w:t>
      </w:r>
    </w:p>
    <w:p w14:paraId="4705D49F" w14:textId="03314845" w:rsidR="00C022E3" w:rsidRDefault="00C022E3">
      <w:pPr>
        <w:pStyle w:val="Heading1"/>
      </w:pPr>
      <w:r>
        <w:t>3</w:t>
      </w:r>
      <w:r>
        <w:tab/>
        <w:t>Rationale</w:t>
      </w:r>
    </w:p>
    <w:p w14:paraId="270289B2" w14:textId="7ACBD929" w:rsidR="00C022E3" w:rsidRDefault="00C9648D" w:rsidP="00FE0F3E">
      <w:r>
        <w:t>In the</w:t>
      </w:r>
      <w:r w:rsidR="00E278BD">
        <w:t xml:space="preserve"> LS [1]</w:t>
      </w:r>
      <w:r>
        <w:t>, CT1 asks SA3 the following questions:</w:t>
      </w:r>
    </w:p>
    <w:p w14:paraId="2BFA3974" w14:textId="4ED9DD03" w:rsidR="00C9648D" w:rsidRPr="00C9648D" w:rsidRDefault="00C9648D" w:rsidP="00C9648D">
      <w:pPr>
        <w:spacing w:after="120"/>
        <w:ind w:left="993" w:hanging="993"/>
        <w:rPr>
          <w:i/>
          <w:iCs/>
          <w:noProof/>
          <w:lang w:val="en-US" w:eastAsia="en-GB"/>
        </w:rPr>
      </w:pPr>
      <w:r>
        <w:tab/>
      </w:r>
      <w:r w:rsidRPr="00C9648D">
        <w:rPr>
          <w:i/>
          <w:iCs/>
        </w:rPr>
        <w:t xml:space="preserve">- whether the </w:t>
      </w:r>
      <w:r w:rsidRPr="00C9648D">
        <w:rPr>
          <w:i/>
          <w:iCs/>
          <w:noProof/>
          <w:lang w:val="en-US"/>
        </w:rPr>
        <w:t xml:space="preserve">"ME support of SOR-CMCI" indicator in the SOR header of the SOR transparent container carrying the UE acknowledgement, needs to be </w:t>
      </w:r>
      <w:r w:rsidRPr="00C9648D">
        <w:rPr>
          <w:i/>
          <w:iCs/>
        </w:rPr>
        <w:t xml:space="preserve">integrity protected </w:t>
      </w:r>
      <w:r w:rsidRPr="00C9648D">
        <w:rPr>
          <w:i/>
          <w:iCs/>
          <w:noProof/>
          <w:lang w:val="en-US"/>
        </w:rPr>
        <w:t>between the UE and the HPLMN;</w:t>
      </w:r>
    </w:p>
    <w:p w14:paraId="397AE37E" w14:textId="77777777" w:rsidR="00C9648D" w:rsidRPr="00C9648D" w:rsidRDefault="00C9648D" w:rsidP="00C9648D">
      <w:pPr>
        <w:spacing w:after="120"/>
        <w:ind w:left="993" w:hanging="993"/>
        <w:rPr>
          <w:i/>
          <w:iCs/>
        </w:rPr>
      </w:pPr>
      <w:r w:rsidRPr="00C9648D">
        <w:rPr>
          <w:i/>
          <w:iCs/>
          <w:noProof/>
          <w:lang w:val="en-US"/>
        </w:rPr>
        <w:tab/>
        <w:t xml:space="preserve">- if deemed necessary, </w:t>
      </w:r>
      <w:r w:rsidRPr="00C9648D">
        <w:rPr>
          <w:i/>
          <w:iCs/>
        </w:rPr>
        <w:t xml:space="preserve">to specify a backward compatible mechanism enabling integrity protection </w:t>
      </w:r>
      <w:r w:rsidRPr="00C9648D">
        <w:rPr>
          <w:i/>
          <w:iCs/>
          <w:noProof/>
          <w:lang w:val="en-US"/>
        </w:rPr>
        <w:t xml:space="preserve">between the UE and the HPLMN </w:t>
      </w:r>
      <w:r w:rsidRPr="00C9648D">
        <w:rPr>
          <w:i/>
          <w:iCs/>
        </w:rPr>
        <w:t>of:</w:t>
      </w:r>
    </w:p>
    <w:p w14:paraId="3A763622" w14:textId="77777777" w:rsidR="00C9648D" w:rsidRPr="00C9648D" w:rsidRDefault="00C9648D" w:rsidP="00C9648D">
      <w:pPr>
        <w:pStyle w:val="B3"/>
        <w:ind w:left="2008"/>
        <w:rPr>
          <w:i/>
          <w:iCs/>
          <w:noProof/>
          <w:lang w:val="en-US"/>
        </w:rPr>
      </w:pPr>
      <w:r w:rsidRPr="00C9648D">
        <w:rPr>
          <w:i/>
          <w:iCs/>
          <w:noProof/>
          <w:lang w:val="en-US"/>
        </w:rPr>
        <w:t>-</w:t>
      </w:r>
      <w:r w:rsidRPr="00C9648D">
        <w:rPr>
          <w:i/>
          <w:iCs/>
          <w:noProof/>
          <w:lang w:val="en-US"/>
        </w:rPr>
        <w:tab/>
        <w:t>the SOR header of the SOR transparent container carrying the SOR acknowledgement; and</w:t>
      </w:r>
    </w:p>
    <w:p w14:paraId="64079CA0" w14:textId="77777777" w:rsidR="00C9648D" w:rsidRPr="00C9648D" w:rsidRDefault="00C9648D" w:rsidP="00C9648D">
      <w:pPr>
        <w:pStyle w:val="B3"/>
        <w:ind w:left="2008"/>
        <w:rPr>
          <w:i/>
          <w:iCs/>
          <w:noProof/>
          <w:lang w:val="en-US"/>
        </w:rPr>
      </w:pPr>
      <w:r w:rsidRPr="00C9648D">
        <w:rPr>
          <w:i/>
          <w:iCs/>
          <w:noProof/>
          <w:lang w:val="en-US"/>
        </w:rPr>
        <w:t>-</w:t>
      </w:r>
      <w:r w:rsidRPr="00C9648D">
        <w:rPr>
          <w:i/>
          <w:iCs/>
          <w:noProof/>
          <w:lang w:val="en-US"/>
        </w:rPr>
        <w:tab/>
        <w:t>fields, if any, placed after the SOR-MAC-Iue in the SOR transparent container carrying the SOR acknowledgement.</w:t>
      </w:r>
    </w:p>
    <w:p w14:paraId="20F5D624" w14:textId="41EBB9FD" w:rsidR="00FE0F3E" w:rsidRDefault="00FE0F3E" w:rsidP="00FE0F3E">
      <w:pPr>
        <w:pStyle w:val="Heading1"/>
      </w:pPr>
      <w:r>
        <w:t>4</w:t>
      </w:r>
      <w:r>
        <w:tab/>
        <w:t>Discussion</w:t>
      </w:r>
    </w:p>
    <w:p w14:paraId="0B4AE7BE" w14:textId="51CB2EFF" w:rsidR="007A1A41" w:rsidRPr="007A1A41" w:rsidRDefault="007A1A41" w:rsidP="007A1A41">
      <w:pPr>
        <w:pStyle w:val="Heading2"/>
      </w:pPr>
      <w:r>
        <w:t>4.1</w:t>
      </w:r>
      <w:r>
        <w:tab/>
      </w:r>
      <w:r>
        <w:tab/>
        <w:t>Need for integrity protection between UE and HPLMN</w:t>
      </w:r>
    </w:p>
    <w:p w14:paraId="41F5C04F" w14:textId="60146805" w:rsidR="00372D41" w:rsidRDefault="00687C9C" w:rsidP="0040356C">
      <w:pPr>
        <w:rPr>
          <w:lang w:val="en-US"/>
        </w:rPr>
      </w:pPr>
      <w:r>
        <w:rPr>
          <w:lang w:val="en-US"/>
        </w:rPr>
        <w:t xml:space="preserve">In their </w:t>
      </w:r>
      <w:r w:rsidR="002E3693">
        <w:rPr>
          <w:lang w:val="en-US"/>
        </w:rPr>
        <w:t>LS [1]</w:t>
      </w:r>
      <w:r>
        <w:rPr>
          <w:lang w:val="en-US"/>
        </w:rPr>
        <w:t xml:space="preserve">, CT1 already </w:t>
      </w:r>
      <w:r w:rsidR="00AC7A88">
        <w:rPr>
          <w:lang w:val="en-US"/>
        </w:rPr>
        <w:t xml:space="preserve">point out </w:t>
      </w:r>
      <w:r w:rsidR="005F7270">
        <w:rPr>
          <w:lang w:val="en-US"/>
        </w:rPr>
        <w:t>aspects that are</w:t>
      </w:r>
      <w:r w:rsidR="009B5393">
        <w:rPr>
          <w:lang w:val="en-US"/>
        </w:rPr>
        <w:t xml:space="preserve"> relevant for the answer to their question:</w:t>
      </w:r>
    </w:p>
    <w:p w14:paraId="50AB3865" w14:textId="5851DF3A" w:rsidR="009B5393" w:rsidRPr="009B5393" w:rsidRDefault="009B5393" w:rsidP="009B5393">
      <w:pPr>
        <w:ind w:left="568"/>
        <w:rPr>
          <w:i/>
          <w:iCs/>
          <w:lang w:val="en-US"/>
        </w:rPr>
      </w:pPr>
      <w:r w:rsidRPr="009B5393">
        <w:rPr>
          <w:i/>
          <w:iCs/>
          <w:lang w:val="en-US"/>
        </w:rPr>
        <w:t>If the "ME support of SOR-CMCI" indicator value is changed from "supported" to "not supported" while transported over the VPLMN to the UDM, then the HPLMN will be unable to control when the UE, that is in 5GMM-CONNECTED mode and with specific PDU session(s) or ongoing service(s), leaves the current VPLMN for a higher priority VPLMN. Instead, the UE stays in the current VPLMN for an UE implementation dependent time, which is advantageous for the current VPLMN.</w:t>
      </w:r>
    </w:p>
    <w:p w14:paraId="09E7800B" w14:textId="57ED96F9" w:rsidR="009B5393" w:rsidRPr="009B5393" w:rsidRDefault="009B5393" w:rsidP="009B5393">
      <w:pPr>
        <w:ind w:left="568"/>
        <w:rPr>
          <w:i/>
          <w:iCs/>
          <w:lang w:val="en-US"/>
        </w:rPr>
      </w:pPr>
      <w:r w:rsidRPr="009B5393">
        <w:rPr>
          <w:i/>
          <w:iCs/>
          <w:lang w:val="en-US"/>
        </w:rPr>
        <w:t>If the "ME support of SOR-CMCI" indicator value is changed from "not supported" to "supported" while transported over the VPLMN to the UDM, and UDM includes SOR-CMCI in the SOR information sent to the UE, the UE decodes the SOR information incorrectly.</w:t>
      </w:r>
    </w:p>
    <w:p w14:paraId="4E27E2F2" w14:textId="7AD6BF6E" w:rsidR="0040356C" w:rsidRDefault="004019C9" w:rsidP="0040356C">
      <w:r>
        <w:t>For exactly these reasons, it is necessary that the "ME support of SOR-CMCI" indicator in the SOR header</w:t>
      </w:r>
      <w:r w:rsidR="007A1A41">
        <w:t xml:space="preserve"> of the SOR transparent container carrying the UE acknowledgement is integrity protected between the UE and the HPLMN.</w:t>
      </w:r>
    </w:p>
    <w:p w14:paraId="1B7AD427" w14:textId="41CFA7D0" w:rsidR="007A1A41" w:rsidRDefault="005101CA" w:rsidP="005101CA">
      <w:pPr>
        <w:pStyle w:val="Heading2"/>
      </w:pPr>
      <w:r>
        <w:lastRenderedPageBreak/>
        <w:t xml:space="preserve">4.2 </w:t>
      </w:r>
      <w:r>
        <w:tab/>
        <w:t>Backward compatible mechanisms enabling integrity protection between the UE and the HPLMN</w:t>
      </w:r>
    </w:p>
    <w:p w14:paraId="35E03E9D" w14:textId="10D44B6C" w:rsidR="00141828" w:rsidRPr="00EC5178" w:rsidRDefault="00772272" w:rsidP="007C27E5">
      <w:pPr>
        <w:rPr>
          <w:lang w:val="en-US"/>
        </w:rPr>
      </w:pPr>
      <w:r>
        <w:rPr>
          <w:lang w:val="en-US"/>
        </w:rPr>
        <w:t>The</w:t>
      </w:r>
      <w:r w:rsidR="00EC5178">
        <w:rPr>
          <w:lang w:val="en-US"/>
        </w:rPr>
        <w:t xml:space="preserve"> specification of the mechanism will require further discussion at future meetings.</w:t>
      </w:r>
    </w:p>
    <w:p w14:paraId="00AB1390" w14:textId="5AC6B7BB" w:rsidR="004D52B4" w:rsidRPr="00C45CD0" w:rsidRDefault="007C27E5" w:rsidP="007C27E5">
      <w:r>
        <w:t xml:space="preserve">A similar backward compatible mechanisms enabling integrity protection between the UE and the HPLMN </w:t>
      </w:r>
      <w:r w:rsidR="00D4791D">
        <w:t xml:space="preserve">in the context </w:t>
      </w:r>
      <w:r w:rsidR="0020396B">
        <w:t xml:space="preserve">of UPU </w:t>
      </w:r>
      <w:r>
        <w:t xml:space="preserve">is discussed in </w:t>
      </w:r>
      <w:r w:rsidR="00172518">
        <w:t>another LS exchange</w:t>
      </w:r>
      <w:r w:rsidR="00C23945">
        <w:t xml:space="preserve"> with SA2 [2] and CT1 [3]. </w:t>
      </w:r>
      <w:r w:rsidR="004D52B4">
        <w:t xml:space="preserve">The </w:t>
      </w:r>
      <w:r w:rsidR="0084448E">
        <w:t>new mechanisms enabling integrity protection between UE and HPLMN for UPU and SOR should obviously be aligned.</w:t>
      </w:r>
      <w:r w:rsidR="00AC3C29">
        <w:t xml:space="preserve"> </w:t>
      </w:r>
      <w:r w:rsidR="00EC5178">
        <w:t>A discussion paper for th</w:t>
      </w:r>
      <w:r w:rsidR="00E5276F">
        <w:t>e UPU</w:t>
      </w:r>
      <w:r w:rsidR="00EC5178">
        <w:t xml:space="preserve"> mechanism is provided in S3-211741 and an LS-reply in S3-211744.</w:t>
      </w:r>
    </w:p>
    <w:p w14:paraId="27693B3F" w14:textId="6FD8D3EE" w:rsidR="00C022E3" w:rsidRDefault="00FE0F3E">
      <w:pPr>
        <w:pStyle w:val="Heading1"/>
      </w:pPr>
      <w:r>
        <w:t>5</w:t>
      </w:r>
      <w:r w:rsidR="00C022E3">
        <w:tab/>
        <w:t>Detailed proposal</w:t>
      </w:r>
    </w:p>
    <w:p w14:paraId="6C473916" w14:textId="342DB1BA" w:rsidR="00CB52E3" w:rsidRPr="00CB52E3" w:rsidRDefault="00676CEA" w:rsidP="00CB52E3">
      <w:r>
        <w:t>It is proposed to answer CT1 accordingly. A draft reply-LS is provided in S3-21</w:t>
      </w:r>
      <w:r w:rsidR="00EC5178">
        <w:t>1751</w:t>
      </w:r>
      <w:r>
        <w:t>.</w:t>
      </w:r>
    </w:p>
    <w:sectPr w:rsidR="00CB52E3" w:rsidRPr="00CB5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647C2" w14:textId="77777777" w:rsidR="008D6B58" w:rsidRDefault="008D6B58">
      <w:r>
        <w:separator/>
      </w:r>
    </w:p>
  </w:endnote>
  <w:endnote w:type="continuationSeparator" w:id="0">
    <w:p w14:paraId="586A0014" w14:textId="77777777" w:rsidR="008D6B58" w:rsidRDefault="008D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F157D" w14:textId="77777777" w:rsidR="008D6B58" w:rsidRDefault="008D6B58">
      <w:r>
        <w:separator/>
      </w:r>
    </w:p>
  </w:footnote>
  <w:footnote w:type="continuationSeparator" w:id="0">
    <w:p w14:paraId="7F74601F" w14:textId="77777777" w:rsidR="008D6B58" w:rsidRDefault="008D6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35793"/>
    <w:rsid w:val="00042522"/>
    <w:rsid w:val="00046389"/>
    <w:rsid w:val="0005213A"/>
    <w:rsid w:val="00074722"/>
    <w:rsid w:val="0007527E"/>
    <w:rsid w:val="000819D8"/>
    <w:rsid w:val="000934A6"/>
    <w:rsid w:val="000A2C6C"/>
    <w:rsid w:val="000A4660"/>
    <w:rsid w:val="000D1B5B"/>
    <w:rsid w:val="0010401F"/>
    <w:rsid w:val="00112FC3"/>
    <w:rsid w:val="0011717A"/>
    <w:rsid w:val="001349CD"/>
    <w:rsid w:val="00141828"/>
    <w:rsid w:val="001460E1"/>
    <w:rsid w:val="00172518"/>
    <w:rsid w:val="00173FA3"/>
    <w:rsid w:val="00184B6F"/>
    <w:rsid w:val="001861E5"/>
    <w:rsid w:val="001B1652"/>
    <w:rsid w:val="001C3EC8"/>
    <w:rsid w:val="001D2BD4"/>
    <w:rsid w:val="001D6911"/>
    <w:rsid w:val="001E6A18"/>
    <w:rsid w:val="001F1DDA"/>
    <w:rsid w:val="00201947"/>
    <w:rsid w:val="0020395B"/>
    <w:rsid w:val="0020396B"/>
    <w:rsid w:val="002046CB"/>
    <w:rsid w:val="00204DC9"/>
    <w:rsid w:val="002062C0"/>
    <w:rsid w:val="00215130"/>
    <w:rsid w:val="00217053"/>
    <w:rsid w:val="00230002"/>
    <w:rsid w:val="00244C9A"/>
    <w:rsid w:val="00247216"/>
    <w:rsid w:val="002A1857"/>
    <w:rsid w:val="002A4905"/>
    <w:rsid w:val="002C7F38"/>
    <w:rsid w:val="002E3693"/>
    <w:rsid w:val="0030628A"/>
    <w:rsid w:val="00323BCC"/>
    <w:rsid w:val="0035122B"/>
    <w:rsid w:val="00353451"/>
    <w:rsid w:val="00371032"/>
    <w:rsid w:val="00371B44"/>
    <w:rsid w:val="00372D41"/>
    <w:rsid w:val="00381D43"/>
    <w:rsid w:val="003A2A9A"/>
    <w:rsid w:val="003A5128"/>
    <w:rsid w:val="003B0446"/>
    <w:rsid w:val="003C122B"/>
    <w:rsid w:val="003C5A97"/>
    <w:rsid w:val="003C7A04"/>
    <w:rsid w:val="003F52B2"/>
    <w:rsid w:val="004019C9"/>
    <w:rsid w:val="0040294F"/>
    <w:rsid w:val="0040356C"/>
    <w:rsid w:val="00440414"/>
    <w:rsid w:val="00450A5C"/>
    <w:rsid w:val="004558E9"/>
    <w:rsid w:val="0045777E"/>
    <w:rsid w:val="004B3753"/>
    <w:rsid w:val="004C0A1D"/>
    <w:rsid w:val="004C31D2"/>
    <w:rsid w:val="004D52B4"/>
    <w:rsid w:val="004D55C2"/>
    <w:rsid w:val="005101CA"/>
    <w:rsid w:val="00521131"/>
    <w:rsid w:val="00527C0B"/>
    <w:rsid w:val="005410F6"/>
    <w:rsid w:val="00543905"/>
    <w:rsid w:val="005729C4"/>
    <w:rsid w:val="0059227B"/>
    <w:rsid w:val="005B0966"/>
    <w:rsid w:val="005B795D"/>
    <w:rsid w:val="005C1A57"/>
    <w:rsid w:val="005F7270"/>
    <w:rsid w:val="00602117"/>
    <w:rsid w:val="00613820"/>
    <w:rsid w:val="00631824"/>
    <w:rsid w:val="00634A13"/>
    <w:rsid w:val="00652248"/>
    <w:rsid w:val="00657B80"/>
    <w:rsid w:val="00675B3C"/>
    <w:rsid w:val="00676CEA"/>
    <w:rsid w:val="00687C9C"/>
    <w:rsid w:val="00690AD5"/>
    <w:rsid w:val="00691823"/>
    <w:rsid w:val="0069495C"/>
    <w:rsid w:val="006D340A"/>
    <w:rsid w:val="006D5CB9"/>
    <w:rsid w:val="00715A1D"/>
    <w:rsid w:val="00760BB0"/>
    <w:rsid w:val="0076157A"/>
    <w:rsid w:val="00772272"/>
    <w:rsid w:val="00784593"/>
    <w:rsid w:val="007A00EF"/>
    <w:rsid w:val="007A1A41"/>
    <w:rsid w:val="007B19EA"/>
    <w:rsid w:val="007C0A2D"/>
    <w:rsid w:val="007C27B0"/>
    <w:rsid w:val="007C27E5"/>
    <w:rsid w:val="007E097D"/>
    <w:rsid w:val="007F300B"/>
    <w:rsid w:val="008014C3"/>
    <w:rsid w:val="0084448E"/>
    <w:rsid w:val="00850812"/>
    <w:rsid w:val="0087668D"/>
    <w:rsid w:val="00876B9A"/>
    <w:rsid w:val="008933BF"/>
    <w:rsid w:val="008A10C4"/>
    <w:rsid w:val="008B0248"/>
    <w:rsid w:val="008B5ABB"/>
    <w:rsid w:val="008D191E"/>
    <w:rsid w:val="008D6B58"/>
    <w:rsid w:val="008F5F33"/>
    <w:rsid w:val="009071C1"/>
    <w:rsid w:val="0091046A"/>
    <w:rsid w:val="00914694"/>
    <w:rsid w:val="00926ABD"/>
    <w:rsid w:val="009333BC"/>
    <w:rsid w:val="00947F4E"/>
    <w:rsid w:val="00966D47"/>
    <w:rsid w:val="00974FB8"/>
    <w:rsid w:val="00981FDD"/>
    <w:rsid w:val="00992312"/>
    <w:rsid w:val="00997C11"/>
    <w:rsid w:val="009B5393"/>
    <w:rsid w:val="009C0DED"/>
    <w:rsid w:val="009E14F2"/>
    <w:rsid w:val="00A37D7F"/>
    <w:rsid w:val="00A46410"/>
    <w:rsid w:val="00A57688"/>
    <w:rsid w:val="00A6078E"/>
    <w:rsid w:val="00A84A94"/>
    <w:rsid w:val="00AC3C29"/>
    <w:rsid w:val="00AC7A88"/>
    <w:rsid w:val="00AD1207"/>
    <w:rsid w:val="00AD1DAA"/>
    <w:rsid w:val="00AD3C87"/>
    <w:rsid w:val="00AE6394"/>
    <w:rsid w:val="00AE7AE5"/>
    <w:rsid w:val="00AF1E23"/>
    <w:rsid w:val="00AF7F81"/>
    <w:rsid w:val="00B01AFF"/>
    <w:rsid w:val="00B05CC7"/>
    <w:rsid w:val="00B27E39"/>
    <w:rsid w:val="00B350D8"/>
    <w:rsid w:val="00B6700B"/>
    <w:rsid w:val="00B76763"/>
    <w:rsid w:val="00B7732B"/>
    <w:rsid w:val="00B879F0"/>
    <w:rsid w:val="00BB2F00"/>
    <w:rsid w:val="00BC25AA"/>
    <w:rsid w:val="00BE292A"/>
    <w:rsid w:val="00C022E3"/>
    <w:rsid w:val="00C177B4"/>
    <w:rsid w:val="00C23945"/>
    <w:rsid w:val="00C45CD0"/>
    <w:rsid w:val="00C4712D"/>
    <w:rsid w:val="00C84BCA"/>
    <w:rsid w:val="00C94F55"/>
    <w:rsid w:val="00C9648D"/>
    <w:rsid w:val="00CA7D62"/>
    <w:rsid w:val="00CB07A8"/>
    <w:rsid w:val="00CB52E3"/>
    <w:rsid w:val="00CD4A57"/>
    <w:rsid w:val="00CE540A"/>
    <w:rsid w:val="00D33604"/>
    <w:rsid w:val="00D37B08"/>
    <w:rsid w:val="00D437FF"/>
    <w:rsid w:val="00D4791D"/>
    <w:rsid w:val="00D5130C"/>
    <w:rsid w:val="00D551A6"/>
    <w:rsid w:val="00D62265"/>
    <w:rsid w:val="00D83234"/>
    <w:rsid w:val="00D8512E"/>
    <w:rsid w:val="00DA1E58"/>
    <w:rsid w:val="00DA58C2"/>
    <w:rsid w:val="00DE026E"/>
    <w:rsid w:val="00DE4EF2"/>
    <w:rsid w:val="00DF2C0E"/>
    <w:rsid w:val="00E06FFB"/>
    <w:rsid w:val="00E278BD"/>
    <w:rsid w:val="00E30155"/>
    <w:rsid w:val="00E52729"/>
    <w:rsid w:val="00E5276F"/>
    <w:rsid w:val="00E80ED9"/>
    <w:rsid w:val="00E91FE1"/>
    <w:rsid w:val="00EA5E95"/>
    <w:rsid w:val="00EC5178"/>
    <w:rsid w:val="00ED4954"/>
    <w:rsid w:val="00ED652F"/>
    <w:rsid w:val="00EE0943"/>
    <w:rsid w:val="00EE33A2"/>
    <w:rsid w:val="00F67A1C"/>
    <w:rsid w:val="00F82C5B"/>
    <w:rsid w:val="00F8555F"/>
    <w:rsid w:val="00FB56E3"/>
    <w:rsid w:val="00FC2CF3"/>
    <w:rsid w:val="00FE0F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42118"/>
  <w15:chartTrackingRefBased/>
  <w15:docId w15:val="{64F81420-EE18-4775-8AE6-3184837D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HChar">
    <w:name w:val="TH Char"/>
    <w:link w:val="TH"/>
    <w:locked/>
    <w:rsid w:val="009071C1"/>
    <w:rPr>
      <w:rFonts w:ascii="Arial" w:hAnsi="Arial"/>
      <w:b/>
      <w:lang w:val="en-GB" w:eastAsia="en-US"/>
    </w:rPr>
  </w:style>
  <w:style w:type="character" w:customStyle="1" w:styleId="TF0">
    <w:name w:val="TF (文字)"/>
    <w:link w:val="TF"/>
    <w:locked/>
    <w:rsid w:val="009071C1"/>
    <w:rPr>
      <w:rFonts w:ascii="Arial" w:hAnsi="Arial"/>
      <w:b/>
      <w:lang w:val="en-GB" w:eastAsia="en-US"/>
    </w:rPr>
  </w:style>
  <w:style w:type="paragraph" w:styleId="Quote">
    <w:name w:val="Quote"/>
    <w:basedOn w:val="Normal"/>
    <w:next w:val="Normal"/>
    <w:link w:val="QuoteChar"/>
    <w:uiPriority w:val="29"/>
    <w:qFormat/>
    <w:rsid w:val="009E14F2"/>
    <w:pPr>
      <w:spacing w:before="200" w:after="160"/>
      <w:ind w:left="864" w:right="864"/>
      <w:jc w:val="center"/>
    </w:pPr>
    <w:rPr>
      <w:i/>
      <w:iCs/>
      <w:color w:val="404040"/>
    </w:rPr>
  </w:style>
  <w:style w:type="character" w:customStyle="1" w:styleId="QuoteChar">
    <w:name w:val="Quote Char"/>
    <w:link w:val="Quote"/>
    <w:uiPriority w:val="29"/>
    <w:rsid w:val="009E14F2"/>
    <w:rPr>
      <w:rFonts w:ascii="Times New Roman" w:hAnsi="Times New Roman"/>
      <w:i/>
      <w:iCs/>
      <w:color w:val="404040"/>
      <w:lang w:val="en-GB" w:eastAsia="en-US"/>
    </w:rPr>
  </w:style>
  <w:style w:type="paragraph" w:styleId="CommentSubject">
    <w:name w:val="annotation subject"/>
    <w:basedOn w:val="CommentText"/>
    <w:next w:val="CommentText"/>
    <w:link w:val="CommentSubjectChar"/>
    <w:rsid w:val="00B6700B"/>
    <w:rPr>
      <w:b/>
      <w:bCs/>
    </w:rPr>
  </w:style>
  <w:style w:type="character" w:customStyle="1" w:styleId="CommentTextChar">
    <w:name w:val="Comment Text Char"/>
    <w:link w:val="CommentText"/>
    <w:semiHidden/>
    <w:rsid w:val="00B6700B"/>
    <w:rPr>
      <w:rFonts w:ascii="Times New Roman" w:hAnsi="Times New Roman"/>
      <w:lang w:val="en-GB" w:eastAsia="en-US"/>
    </w:rPr>
  </w:style>
  <w:style w:type="character" w:customStyle="1" w:styleId="CommentSubjectChar">
    <w:name w:val="Comment Subject Char"/>
    <w:link w:val="CommentSubject"/>
    <w:rsid w:val="00B6700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707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10462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9023219">
      <w:bodyDiv w:val="1"/>
      <w:marLeft w:val="0"/>
      <w:marRight w:val="0"/>
      <w:marTop w:val="0"/>
      <w:marBottom w:val="0"/>
      <w:divBdr>
        <w:top w:val="none" w:sz="0" w:space="0" w:color="auto"/>
        <w:left w:val="none" w:sz="0" w:space="0" w:color="auto"/>
        <w:bottom w:val="none" w:sz="0" w:space="0" w:color="auto"/>
        <w:right w:val="none" w:sz="0" w:space="0" w:color="auto"/>
      </w:divBdr>
    </w:div>
    <w:div w:id="9603099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8659594">
      <w:bodyDiv w:val="1"/>
      <w:marLeft w:val="0"/>
      <w:marRight w:val="0"/>
      <w:marTop w:val="0"/>
      <w:marBottom w:val="0"/>
      <w:divBdr>
        <w:top w:val="none" w:sz="0" w:space="0" w:color="auto"/>
        <w:left w:val="none" w:sz="0" w:space="0" w:color="auto"/>
        <w:bottom w:val="none" w:sz="0" w:space="0" w:color="auto"/>
        <w:right w:val="none" w:sz="0" w:space="0" w:color="auto"/>
      </w:divBdr>
    </w:div>
    <w:div w:id="1389920021">
      <w:bodyDiv w:val="1"/>
      <w:marLeft w:val="0"/>
      <w:marRight w:val="0"/>
      <w:marTop w:val="0"/>
      <w:marBottom w:val="0"/>
      <w:divBdr>
        <w:top w:val="none" w:sz="0" w:space="0" w:color="auto"/>
        <w:left w:val="none" w:sz="0" w:space="0" w:color="auto"/>
        <w:bottom w:val="none" w:sz="0" w:space="0" w:color="auto"/>
        <w:right w:val="none" w:sz="0" w:space="0" w:color="auto"/>
      </w:divBdr>
    </w:div>
    <w:div w:id="148663089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055826">
      <w:bodyDiv w:val="1"/>
      <w:marLeft w:val="0"/>
      <w:marRight w:val="0"/>
      <w:marTop w:val="0"/>
      <w:marBottom w:val="0"/>
      <w:divBdr>
        <w:top w:val="none" w:sz="0" w:space="0" w:color="auto"/>
        <w:left w:val="none" w:sz="0" w:space="0" w:color="auto"/>
        <w:bottom w:val="none" w:sz="0" w:space="0" w:color="auto"/>
        <w:right w:val="none" w:sz="0" w:space="0" w:color="auto"/>
      </w:divBdr>
    </w:div>
    <w:div w:id="175920648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ADQ376F6HWTR-1074192144-1753</_dlc_DocId>
    <_dlc_DocIdUrl xmlns="4397fad0-70af-449d-b129-6cf6df26877a">
      <Url>https://ericsson.sharepoint.com/sites/SRT/3GPP/_layouts/15/DocIdRedir.aspx?ID=ADQ376F6HWTR-1074192144-1753</Url>
      <Description>ADQ376F6HWTR-1074192144-1753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08B327-E4F8-4B9A-BE01-BD52B8F7F2B0}">
  <ds:schemaRefs>
    <ds:schemaRef ds:uri="http://schemas.microsoft.com/sharepoint/v3/contenttype/forms"/>
  </ds:schemaRefs>
</ds:datastoreItem>
</file>

<file path=customXml/itemProps2.xml><?xml version="1.0" encoding="utf-8"?>
<ds:datastoreItem xmlns:ds="http://schemas.openxmlformats.org/officeDocument/2006/customXml" ds:itemID="{EE3F2CE5-15A3-4C1E-8400-0F3F299188D2}">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3.xml><?xml version="1.0" encoding="utf-8"?>
<ds:datastoreItem xmlns:ds="http://schemas.openxmlformats.org/officeDocument/2006/customXml" ds:itemID="{BBC7F694-C51B-4928-8A62-1B32CE25A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7FEE5-1DD3-4790-9192-AE757E1952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507</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81</cp:revision>
  <cp:lastPrinted>1899-12-31T23:00:00Z</cp:lastPrinted>
  <dcterms:created xsi:type="dcterms:W3CDTF">2021-04-30T07:59:00Z</dcterms:created>
  <dcterms:modified xsi:type="dcterms:W3CDTF">2021-05-10T14:13:00Z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0x01010077990BDF6A9C394086091315AB42BD9E</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OrganizationUnitTaxHTField0">
    <vt:lpwstr/>
  </property>
  <property fmtid="{D5CDD505-2E9C-101B-9397-08002B2CF9AE}" pid="13" name="EriCOLLProducts">
    <vt:lpwstr/>
  </property>
  <property fmtid="{D5CDD505-2E9C-101B-9397-08002B2CF9AE}" pid="14" name="EriCOLLCategoryTaxHTField0">
    <vt:lpwstr/>
  </property>
  <property fmtid="{D5CDD505-2E9C-101B-9397-08002B2CF9AE}" pid="15" name="EriCOLLCompetenceTaxHTField0">
    <vt:lpwstr/>
  </property>
  <property fmtid="{D5CDD505-2E9C-101B-9397-08002B2CF9AE}" pid="16" name="EriCOLLCountryTaxHTField0">
    <vt:lpwstr/>
  </property>
  <property fmtid="{D5CDD505-2E9C-101B-9397-08002B2CF9AE}" pid="17" name="EriCOLLCustomer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_dlc_DocIdItemGuid">
    <vt:lpwstr>092080cf-87af-4568-955a-c3f6767b95e4</vt:lpwstr>
  </property>
</Properties>
</file>